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16"/>
        <w:pBdr/>
        <w:spacing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031" w:type="dxa"/>
        <w:tblInd w:w="-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10031"/>
      </w:tblGrid>
      <w:tr>
        <w:trPr/>
        <w:tc>
          <w:tcPr>
            <w:tcBorders/>
            <w:tcW w:w="10031" w:type="dxa"/>
            <w:vAlign w:val="top"/>
            <w:textDirection w:val="lrTb"/>
            <w:noWrap w:val="false"/>
          </w:tcPr>
          <w:p>
            <w:pPr>
              <w:pStyle w:val="616"/>
              <w:pBdr/>
              <w:spacing/>
              <w: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ИЗВЕЩЕНИЕ О ПРОВЕДЕНИИ ЗАСЕДАНИЙ СОГЛАСИТЕЛЬНЫХ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КОМИССИ</w:t>
            </w:r>
            <w:r>
              <w:rPr>
                <w:b/>
                <w:sz w:val="22"/>
                <w:szCs w:val="22"/>
              </w:rPr>
              <w:t xml:space="preserve">Й</w:t>
            </w:r>
            <w:r>
              <w:rPr>
                <w:b/>
                <w:sz w:val="22"/>
                <w:szCs w:val="22"/>
              </w:rPr>
              <w:t xml:space="preserve"> ПО ВОПРОСУ СОГЛАСОВАНИЯ МЕСТОПОЛОЖЕНИЯ ГРАНИЦ ЗЕМЕЛЬНЫХ УЧАСТКОВ ПРИ ВЫПОЛНЕНИИ КОМПЛЕКСНЫХ 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КАДАСТРОВЫХ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Borders/>
            <w:tcW w:w="10031" w:type="dxa"/>
            <w:vAlign w:val="top"/>
            <w:textDirection w:val="lrTb"/>
            <w:noWrap w:val="false"/>
          </w:tcPr>
          <w:p>
            <w:pPr>
              <w:pStyle w:val="616"/>
              <w:pBdr/>
              <w:spacing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отношении объектов недвижимого имущества, расположенных на территори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</w:t>
            </w:r>
            <w:r>
              <w:rPr>
                <w:sz w:val="22"/>
                <w:szCs w:val="22"/>
              </w:rPr>
              <w:t xml:space="preserve">адастров</w:t>
            </w:r>
            <w:r>
              <w:rPr>
                <w:sz w:val="22"/>
                <w:szCs w:val="22"/>
              </w:rPr>
              <w:t xml:space="preserve">ого квар</w:t>
            </w:r>
            <w:r>
              <w:rPr>
                <w:sz w:val="22"/>
                <w:szCs w:val="22"/>
              </w:rPr>
              <w:t xml:space="preserve">тала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субъект Российской Федерации  ___________</w:t>
            </w:r>
            <w:r>
              <w:rPr>
                <w:sz w:val="22"/>
                <w:szCs w:val="22"/>
                <w:u w:val="single"/>
              </w:rPr>
              <w:t xml:space="preserve">Липецкая</w:t>
            </w:r>
            <w:r>
              <w:rPr>
                <w:sz w:val="22"/>
                <w:szCs w:val="22"/>
                <w:u w:val="single"/>
              </w:rPr>
              <w:t xml:space="preserve"> область___________________</w:t>
            </w:r>
            <w:r>
              <w:rPr>
                <w:sz w:val="22"/>
                <w:szCs w:val="22"/>
                <w:u w:val="single"/>
              </w:rPr>
              <w:t xml:space="preserve">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образование </w:t>
            </w:r>
            <w:r>
              <w:rPr>
                <w:sz w:val="22"/>
                <w:szCs w:val="22"/>
              </w:rPr>
              <w:t xml:space="preserve">______</w:t>
            </w:r>
            <w:r>
              <w:rPr>
                <w:sz w:val="22"/>
                <w:szCs w:val="22"/>
                <w:u w:val="single"/>
              </w:rPr>
              <w:t xml:space="preserve">____</w:t>
            </w:r>
            <w:r>
              <w:rPr>
                <w:sz w:val="22"/>
                <w:szCs w:val="22"/>
                <w:u w:val="single"/>
              </w:rPr>
              <w:t xml:space="preserve">____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Добринский</w:t>
            </w:r>
            <w:r>
              <w:rPr>
                <w:sz w:val="22"/>
                <w:szCs w:val="22"/>
                <w:u w:val="single"/>
              </w:rPr>
              <w:t xml:space="preserve"> район </w:t>
            </w:r>
            <w:r>
              <w:rPr>
                <w:sz w:val="22"/>
                <w:szCs w:val="22"/>
                <w:u w:val="single"/>
              </w:rPr>
              <w:t xml:space="preserve">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населенные</w:t>
            </w:r>
            <w:r>
              <w:rPr>
                <w:sz w:val="22"/>
                <w:szCs w:val="22"/>
              </w:rPr>
              <w:t xml:space="preserve"> пункт</w:t>
            </w:r>
            <w:r>
              <w:rPr>
                <w:sz w:val="22"/>
                <w:szCs w:val="22"/>
              </w:rPr>
              <w:t xml:space="preserve">ы: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сельское поселение </w:t>
            </w:r>
            <w:r>
              <w:rPr>
                <w:sz w:val="22"/>
                <w:szCs w:val="22"/>
              </w:rPr>
              <w:t xml:space="preserve">Дубовской</w:t>
            </w:r>
            <w:r>
              <w:rPr>
                <w:sz w:val="22"/>
                <w:szCs w:val="22"/>
              </w:rPr>
              <w:t xml:space="preserve"> сельсовет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 кадастрового квартала </w:t>
            </w:r>
            <w:r>
              <w:rPr>
                <w:sz w:val="22"/>
                <w:szCs w:val="22"/>
              </w:rPr>
              <w:t xml:space="preserve">48:04:061</w:t>
            </w:r>
            <w:r>
              <w:rPr>
                <w:sz w:val="22"/>
                <w:szCs w:val="22"/>
              </w:rPr>
              <w:t xml:space="preserve">0102, 48:04:0620101, 48:04:0630101, 48:04:0630103, 48:04:0630209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</w:t>
            </w:r>
            <w:r>
              <w:rPr>
                <w:sz w:val="22"/>
                <w:szCs w:val="22"/>
              </w:rPr>
              <w:t xml:space="preserve"> соответствии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договором</w:t>
            </w:r>
            <w:r>
              <w:rPr>
                <w:sz w:val="22"/>
                <w:szCs w:val="22"/>
              </w:rPr>
              <w:t xml:space="preserve"> от 19 февраля 2024 г. № 341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выполняются комплексные </w:t>
            </w:r>
            <w:r>
              <w:rPr>
                <w:sz w:val="22"/>
                <w:szCs w:val="22"/>
              </w:rPr>
              <w:t xml:space="preserve">кадастровые работы.</w:t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Уведомляем всех заинтересованных ли</w:t>
            </w:r>
            <w:r>
              <w:rPr>
                <w:sz w:val="22"/>
                <w:szCs w:val="22"/>
              </w:rPr>
              <w:t xml:space="preserve">ц </w:t>
            </w:r>
            <w:r>
              <w:rPr>
                <w:sz w:val="22"/>
                <w:szCs w:val="22"/>
              </w:rPr>
              <w:t xml:space="preserve">о завершении подготовки проект</w:t>
            </w:r>
            <w:r>
              <w:rPr>
                <w:sz w:val="22"/>
                <w:szCs w:val="22"/>
              </w:rPr>
              <w:t xml:space="preserve">ов</w:t>
            </w:r>
            <w:r>
              <w:rPr>
                <w:sz w:val="22"/>
                <w:szCs w:val="22"/>
              </w:rPr>
              <w:t xml:space="preserve"> карт</w:t>
            </w:r>
            <w:r>
              <w:rPr>
                <w:sz w:val="22"/>
                <w:szCs w:val="22"/>
              </w:rPr>
              <w:t xml:space="preserve">а</w:t>
            </w:r>
            <w:r>
              <w:rPr>
                <w:sz w:val="22"/>
                <w:szCs w:val="22"/>
              </w:rPr>
              <w:t xml:space="preserve">-план</w:t>
            </w:r>
            <w:r>
              <w:rPr>
                <w:sz w:val="22"/>
                <w:szCs w:val="22"/>
              </w:rPr>
              <w:t xml:space="preserve">ов</w:t>
            </w:r>
            <w:r>
              <w:rPr>
                <w:sz w:val="22"/>
                <w:szCs w:val="22"/>
              </w:rPr>
              <w:t xml:space="preserve"> территори</w:t>
            </w:r>
            <w:r>
              <w:rPr>
                <w:sz w:val="22"/>
                <w:szCs w:val="22"/>
              </w:rPr>
              <w:t xml:space="preserve">й</w:t>
            </w:r>
            <w:r>
              <w:rPr>
                <w:sz w:val="22"/>
                <w:szCs w:val="22"/>
              </w:rPr>
              <w:t xml:space="preserve">, с которым</w:t>
            </w:r>
            <w:r>
              <w:rPr>
                <w:sz w:val="22"/>
                <w:szCs w:val="22"/>
              </w:rPr>
              <w:t xml:space="preserve">и</w:t>
            </w:r>
            <w:r>
              <w:rPr>
                <w:sz w:val="22"/>
                <w:szCs w:val="22"/>
              </w:rPr>
              <w:t xml:space="preserve"> можно ознакомиться по адресу работы согласительной комиссии:</w:t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399418, Липецкая область, Добринский район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с. Дубовое, ул. Лермонтова, д. 34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или на официальных сайтах в информационно-телекоммуникационной сети «Интернет»:</w:t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Администрация </w:t>
            </w:r>
            <w:r>
              <w:rPr>
                <w:sz w:val="22"/>
                <w:szCs w:val="22"/>
                <w:u w:val="single"/>
              </w:rPr>
              <w:t xml:space="preserve">Добринского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района</w:t>
            </w: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 xml:space="preserve">                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u w:val="single"/>
              </w:rPr>
              <w:fldChar w:fldCharType="begin"/>
            </w:r>
            <w:r>
              <w:rPr>
                <w:sz w:val="22"/>
                <w:szCs w:val="22"/>
                <w:u w:val="single"/>
              </w:rPr>
              <w:instrText xml:space="preserve">HYPERLINK "</w:instrText>
            </w:r>
            <w:r>
              <w:rPr>
                <w:sz w:val="22"/>
                <w:szCs w:val="22"/>
                <w:u w:val="single"/>
              </w:rPr>
              <w:instrText xml:space="preserve">http://www.admdobrinka.ru/</w:instrText>
            </w:r>
            <w:r>
              <w:rPr>
                <w:sz w:val="22"/>
                <w:szCs w:val="22"/>
                <w:u w:val="single"/>
              </w:rPr>
              <w:instrText xml:space="preserve">"</w:instrText>
            </w:r>
            <w:r>
              <w:rPr>
                <w:sz w:val="22"/>
                <w:szCs w:val="22"/>
                <w:u w:val="single"/>
              </w:rPr>
              <w:fldChar w:fldCharType="separate"/>
            </w:r>
            <w:r>
              <w:rPr>
                <w:rStyle w:val="621"/>
                <w:sz w:val="22"/>
                <w:szCs w:val="22"/>
              </w:rPr>
              <w:t xml:space="preserve">http://www.admdobrinka.ru/</w:t>
            </w:r>
            <w:r>
              <w:rPr>
                <w:sz w:val="22"/>
                <w:szCs w:val="22"/>
                <w:u w:val="single"/>
              </w:rPr>
              <w:fldChar w:fldCharType="end"/>
            </w:r>
            <w:r>
              <w:rPr>
                <w:sz w:val="22"/>
                <w:szCs w:val="22"/>
                <w:u w:val="single"/>
              </w:rPr>
            </w:r>
            <w:r>
              <w:rPr>
                <w:sz w:val="22"/>
                <w:szCs w:val="22"/>
                <w:u w:val="single"/>
              </w:rPr>
            </w:r>
          </w:p>
          <w:p>
            <w:pPr>
              <w:pStyle w:val="616"/>
              <w:pBdr/>
              <w:spacing/>
              <w:ind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Управление</w:t>
            </w:r>
            <w:r>
              <w:rPr>
                <w:sz w:val="22"/>
                <w:szCs w:val="22"/>
                <w:u w:val="single"/>
              </w:rPr>
              <w:t xml:space="preserve"> имущественных и земельных</w:t>
            </w:r>
            <w:r>
              <w:rPr>
                <w:sz w:val="22"/>
                <w:szCs w:val="22"/>
                <w:u w:val="single"/>
              </w:rPr>
            </w:r>
          </w:p>
          <w:p>
            <w:pPr>
              <w:pStyle w:val="616"/>
              <w:pBdr/>
              <w:spacing/>
              <w:ind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 xml:space="preserve">отношений </w:t>
            </w:r>
            <w:r>
              <w:rPr>
                <w:sz w:val="22"/>
                <w:szCs w:val="22"/>
                <w:u w:val="single"/>
              </w:rPr>
              <w:t xml:space="preserve">Липецкой</w:t>
            </w:r>
            <w:r>
              <w:rPr>
                <w:sz w:val="22"/>
                <w:szCs w:val="22"/>
                <w:u w:val="single"/>
              </w:rPr>
              <w:t xml:space="preserve"> области</w:t>
            </w:r>
            <w:r>
              <w:rPr>
                <w:sz w:val="22"/>
                <w:szCs w:val="22"/>
              </w:rPr>
              <w:t xml:space="preserve">                 </w:t>
            </w:r>
            <w:r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  <w:u w:val="single"/>
              </w:rPr>
              <w:t xml:space="preserve">http://uizo.ru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Управление Федеральной службы государственной </w:t>
            </w:r>
            <w:r>
              <w:rPr>
                <w:sz w:val="22"/>
                <w:szCs w:val="22"/>
                <w:u w:val="single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регистрации, кадастра и картографии </w:t>
            </w:r>
            <w:r>
              <w:rPr>
                <w:sz w:val="22"/>
                <w:szCs w:val="22"/>
                <w:u w:val="single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 xml:space="preserve">по </w:t>
            </w:r>
            <w:r>
              <w:rPr>
                <w:sz w:val="22"/>
                <w:szCs w:val="22"/>
                <w:u w:val="single"/>
              </w:rPr>
              <w:t xml:space="preserve">Липецкой</w:t>
            </w:r>
            <w:r>
              <w:rPr>
                <w:sz w:val="22"/>
                <w:szCs w:val="22"/>
                <w:u w:val="single"/>
              </w:rPr>
              <w:t xml:space="preserve"> области</w:t>
            </w:r>
            <w:r>
              <w:rPr>
                <w:sz w:val="22"/>
                <w:szCs w:val="22"/>
              </w:rPr>
              <w:t xml:space="preserve">               </w:t>
            </w:r>
            <w:r>
              <w:rPr>
                <w:sz w:val="22"/>
                <w:szCs w:val="22"/>
              </w:rPr>
              <w:t xml:space="preserve">                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</w:t>
            </w:r>
            <w:r>
              <w:rPr>
                <w:sz w:val="22"/>
                <w:szCs w:val="22"/>
                <w:u w:val="single"/>
              </w:rPr>
              <w:t xml:space="preserve">48upr@rosreestr.ru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Заседани</w:t>
            </w:r>
            <w:r>
              <w:rPr>
                <w:sz w:val="22"/>
                <w:szCs w:val="22"/>
              </w:rPr>
              <w:t xml:space="preserve">я согласительных комиссий</w:t>
            </w:r>
            <w:r>
              <w:rPr>
                <w:sz w:val="22"/>
                <w:szCs w:val="22"/>
              </w:rPr>
              <w:t xml:space="preserve"> по вопросу согласования местоположения границ земельных участков, в отношении которых проводятся комплексные кад</w:t>
            </w:r>
            <w:r>
              <w:rPr>
                <w:sz w:val="22"/>
                <w:szCs w:val="22"/>
              </w:rPr>
              <w:t xml:space="preserve">астровые работы на территории кадастровых кварталов: </w:t>
            </w:r>
            <w:r>
              <w:rPr>
                <w:sz w:val="22"/>
                <w:szCs w:val="22"/>
              </w:rPr>
              <w:t xml:space="preserve">48:04:0610102, 48:04:0620101, 48:04:0630101, 48:04:0630103, 48:04:0630209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состоятся</w:t>
            </w:r>
            <w:r>
              <w:rPr>
                <w:sz w:val="22"/>
                <w:szCs w:val="22"/>
              </w:rPr>
              <w:t xml:space="preserve"> по адресу: </w:t>
            </w:r>
            <w:r>
              <w:rPr>
                <w:sz w:val="22"/>
                <w:szCs w:val="22"/>
              </w:rPr>
              <w:t xml:space="preserve">Липецкая область, Добринский район, </w:t>
            </w:r>
            <w:r>
              <w:rPr>
                <w:sz w:val="22"/>
                <w:szCs w:val="22"/>
              </w:rPr>
              <w:t xml:space="preserve">с. Дубовое, ул. Лермонтова, д. 34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b/>
                <w:sz w:val="22"/>
                <w:szCs w:val="22"/>
              </w:rPr>
              <w:t xml:space="preserve">      </w:t>
            </w:r>
            <w:r>
              <w:rPr>
                <w:b/>
                <w:sz w:val="22"/>
                <w:szCs w:val="22"/>
              </w:rPr>
              <w:t xml:space="preserve">                                                                   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15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ма</w:t>
            </w:r>
            <w:r>
              <w:rPr>
                <w:b/>
                <w:sz w:val="22"/>
                <w:szCs w:val="22"/>
              </w:rPr>
              <w:t xml:space="preserve">я</w:t>
            </w:r>
            <w:r>
              <w:rPr>
                <w:b/>
                <w:sz w:val="22"/>
                <w:szCs w:val="22"/>
              </w:rPr>
              <w:t xml:space="preserve"> 202</w:t>
            </w:r>
            <w:r>
              <w:rPr>
                <w:b/>
                <w:sz w:val="22"/>
                <w:szCs w:val="22"/>
              </w:rPr>
              <w:t xml:space="preserve">4</w:t>
            </w:r>
            <w:r>
              <w:rPr>
                <w:b/>
                <w:sz w:val="22"/>
                <w:szCs w:val="22"/>
              </w:rPr>
              <w:t xml:space="preserve"> г</w:t>
            </w:r>
            <w:r>
              <w:rPr>
                <w:b/>
                <w:sz w:val="22"/>
                <w:szCs w:val="22"/>
              </w:rPr>
              <w:t xml:space="preserve">. в 1</w:t>
            </w:r>
            <w:r>
              <w:rPr>
                <w:b/>
                <w:sz w:val="22"/>
                <w:szCs w:val="22"/>
              </w:rPr>
              <w:t xml:space="preserve">0</w:t>
            </w:r>
            <w:r>
              <w:rPr>
                <w:b/>
                <w:sz w:val="22"/>
                <w:szCs w:val="22"/>
              </w:rPr>
              <w:t xml:space="preserve"> часов 00</w:t>
            </w:r>
            <w:r>
              <w:rPr>
                <w:b/>
                <w:sz w:val="22"/>
                <w:szCs w:val="22"/>
              </w:rPr>
              <w:t xml:space="preserve"> минут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</w:t>
            </w:r>
            <w:r>
              <w:rPr>
                <w:b/>
                <w:sz w:val="22"/>
                <w:szCs w:val="22"/>
              </w:rPr>
              <w:t xml:space="preserve">1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июня</w:t>
            </w:r>
            <w:r>
              <w:rPr>
                <w:b/>
                <w:sz w:val="22"/>
                <w:szCs w:val="22"/>
              </w:rPr>
              <w:t xml:space="preserve"> 2024 г. в 1</w:t>
            </w:r>
            <w:r>
              <w:rPr>
                <w:b/>
                <w:sz w:val="22"/>
                <w:szCs w:val="22"/>
              </w:rPr>
              <w:t xml:space="preserve">0</w:t>
            </w:r>
            <w:r>
              <w:rPr>
                <w:b/>
                <w:sz w:val="22"/>
                <w:szCs w:val="22"/>
              </w:rPr>
              <w:t xml:space="preserve"> часов 00 минут</w:t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                   </w:t>
            </w:r>
            <w:r>
              <w:rPr>
                <w:sz w:val="22"/>
                <w:szCs w:val="22"/>
              </w:rPr>
              <w:t xml:space="preserve">                       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616"/>
              <w:pBdr/>
              <w:spacing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Для учас</w:t>
            </w:r>
            <w:r>
              <w:rPr>
                <w:sz w:val="22"/>
                <w:szCs w:val="22"/>
              </w:rPr>
              <w:t xml:space="preserve">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«</w:t>
            </w: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апреля</w:t>
            </w:r>
            <w:r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 г. по «</w:t>
            </w:r>
            <w:r>
              <w:rPr>
                <w:sz w:val="22"/>
                <w:szCs w:val="22"/>
              </w:rPr>
              <w:t xml:space="preserve">14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ма</w:t>
            </w:r>
            <w:r>
              <w:rPr>
                <w:sz w:val="22"/>
                <w:szCs w:val="22"/>
              </w:rPr>
              <w:t xml:space="preserve">я</w:t>
            </w:r>
            <w:r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 года и</w:t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«</w:t>
            </w:r>
            <w:r>
              <w:rPr>
                <w:sz w:val="22"/>
                <w:szCs w:val="22"/>
              </w:rPr>
              <w:t xml:space="preserve">16</w:t>
            </w:r>
            <w:r>
              <w:rPr>
                <w:sz w:val="22"/>
                <w:szCs w:val="22"/>
              </w:rPr>
              <w:t xml:space="preserve">»</w:t>
            </w:r>
            <w:r>
              <w:rPr>
                <w:sz w:val="22"/>
                <w:szCs w:val="22"/>
              </w:rPr>
              <w:t xml:space="preserve"> ма</w:t>
            </w:r>
            <w:r>
              <w:rPr>
                <w:sz w:val="22"/>
                <w:szCs w:val="22"/>
              </w:rPr>
              <w:t xml:space="preserve">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202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 г. по «</w:t>
            </w: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  <w:t xml:space="preserve">0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202</w:t>
            </w: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Возражения оформляются в соответствии с частью 15 статьи 42.10 Федерального закона от 24 июля 2007 г. № 221-ФЗ «О </w:t>
            </w:r>
            <w:r>
              <w:rPr>
                <w:sz w:val="22"/>
                <w:szCs w:val="22"/>
              </w:rPr>
              <w:t xml:space="preserve">кадастровой деятельности</w:t>
            </w:r>
            <w:r>
              <w:rPr>
                <w:sz w:val="22"/>
                <w:szCs w:val="22"/>
              </w:rPr>
              <w:t xml:space="preserve">» и включают в себя сведения о лице, направившем данное возражение, в том числе фамилию, имя и (при наличии</w:t>
            </w:r>
            <w:r>
              <w:rPr>
                <w:sz w:val="22"/>
                <w:szCs w:val="22"/>
              </w:rPr>
              <w:t xml:space="preserve">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</w:t>
            </w:r>
            <w:r>
              <w:rPr>
                <w:sz w:val="22"/>
                <w:szCs w:val="22"/>
              </w:rPr>
              <w:t xml:space="preserve">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</w:t>
            </w:r>
            <w:r>
              <w:rPr>
                <w:sz w:val="22"/>
                <w:szCs w:val="22"/>
              </w:rPr>
              <w:t xml:space="preserve">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 </w:t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 w:firstLine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 отсутствия таких возра</w:t>
            </w:r>
            <w:r>
              <w:rPr>
                <w:sz w:val="22"/>
                <w:szCs w:val="22"/>
              </w:rPr>
              <w:t xml:space="preserve">жений местоположение границ земельных участков считается согласованным.</w:t>
            </w:r>
            <w:r>
              <w:rPr>
                <w:sz w:val="22"/>
                <w:szCs w:val="22"/>
              </w:rPr>
            </w:r>
          </w:p>
          <w:p>
            <w:pPr>
              <w:pStyle w:val="616"/>
              <w:pBdr/>
              <w:spacing/>
              <w: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</w:tbl>
    <w:sectPr>
      <w:footnotePr/>
      <w:endnotePr/>
      <w:type w:val="nextPage"/>
      <w:pgSz w:h="16838" w:orient="portrait" w:w="11906"/>
      <w:pgMar w:top="284" w:right="850" w:bottom="142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extBookC">
    <w:panose1 w:val="05040102010807070707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16"/>
    <w:next w:val="616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11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11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paragraph" w:styleId="42">
    <w:name w:val="Header"/>
    <w:basedOn w:val="616"/>
    <w:link w:val="4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3">
    <w:name w:val="Header Char"/>
    <w:basedOn w:val="11"/>
    <w:link w:val="42"/>
    <w:uiPriority w:val="99"/>
    <w:pPr>
      <w:pBdr/>
      <w:spacing/>
      <w:ind/>
    </w:pPr>
  </w:style>
  <w:style w:type="paragraph" w:styleId="44">
    <w:name w:val="Footer"/>
    <w:basedOn w:val="616"/>
    <w:link w:val="4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5">
    <w:name w:val="Footer Char"/>
    <w:basedOn w:val="11"/>
    <w:link w:val="44"/>
    <w:uiPriority w:val="99"/>
    <w:pPr>
      <w:pBdr/>
      <w:spacing/>
      <w:ind/>
    </w:pPr>
  </w:style>
  <w:style w:type="paragraph" w:styleId="46">
    <w:name w:val="Caption"/>
    <w:basedOn w:val="616"/>
    <w:next w:val="616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  <w:pPr>
      <w:pBdr/>
      <w:spacing/>
      <w:ind/>
    </w:pPr>
  </w:style>
  <w:style w:type="table" w:styleId="48">
    <w:name w:val="Table Grid"/>
    <w:basedOn w:val="3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3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3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3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11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11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16"/>
    <w:next w:val="616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16"/>
    <w:next w:val="616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16"/>
    <w:next w:val="616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16"/>
    <w:next w:val="616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16"/>
    <w:next w:val="616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16"/>
    <w:next w:val="616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16"/>
    <w:next w:val="616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16"/>
    <w:next w:val="616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16"/>
    <w:next w:val="616"/>
    <w:uiPriority w:val="99"/>
    <w:unhideWhenUsed/>
    <w:pPr>
      <w:pBdr/>
      <w:spacing w:after="0" w:afterAutospacing="0"/>
      <w:ind/>
    </w:pPr>
  </w:style>
  <w:style w:type="paragraph" w:styleId="616" w:default="1">
    <w:name w:val="Normal"/>
    <w:next w:val="616"/>
    <w:link w:val="616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617">
    <w:name w:val="Основной шрифт абзаца"/>
    <w:next w:val="617"/>
    <w:link w:val="616"/>
    <w:semiHidden/>
    <w:pPr>
      <w:pBdr/>
      <w:spacing/>
      <w:ind/>
    </w:pPr>
  </w:style>
  <w:style w:type="table" w:styleId="618">
    <w:name w:val="Обычная таблица"/>
    <w:next w:val="618"/>
    <w:link w:val="616"/>
    <w:semiHidden/>
    <w:pPr>
      <w:pBdr/>
      <w:spacing/>
      <w:ind/>
    </w:pPr>
    <w:tblPr>
      <w:tblW w:w="0" w:type="auto"/>
      <w:tblInd w:w="0" w:type="dxa"/>
      <w:tblBorders/>
      <w:tblLayout w:type="fixed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19">
    <w:name w:val="Нет списка"/>
    <w:next w:val="619"/>
    <w:link w:val="616"/>
    <w:semiHidden/>
    <w:pPr>
      <w:pBdr/>
      <w:spacing/>
      <w:ind/>
    </w:pPr>
  </w:style>
  <w:style w:type="paragraph" w:styleId="620">
    <w:name w:val="ConsNonformat"/>
    <w:next w:val="620"/>
    <w:link w:val="616"/>
    <w:pPr>
      <w:widowControl w:val="false"/>
      <w:pBdr/>
      <w:spacing/>
      <w:ind/>
    </w:pPr>
    <w:rPr>
      <w:rFonts w:ascii="Courier New" w:hAnsi="Courier New"/>
      <w:lang w:val="ru-RU" w:eastAsia="ru-RU" w:bidi="ar-SA"/>
    </w:rPr>
  </w:style>
  <w:style w:type="character" w:styleId="621">
    <w:name w:val="Гиперссылка"/>
    <w:next w:val="621"/>
    <w:link w:val="616"/>
    <w:pPr>
      <w:pBdr/>
      <w:spacing/>
      <w:ind/>
    </w:pPr>
    <w:rPr>
      <w:color w:val="0000ff"/>
      <w:u w:val="single"/>
    </w:rPr>
  </w:style>
  <w:style w:type="table" w:styleId="622">
    <w:name w:val="Сетка таблицы"/>
    <w:basedOn w:val="618"/>
    <w:next w:val="622"/>
    <w:link w:val="616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23">
    <w:name w:val="ConsPlusNonformat"/>
    <w:next w:val="623"/>
    <w:link w:val="616"/>
    <w:uiPriority w:val="99"/>
    <w:pPr>
      <w:widowControl w:val="false"/>
      <w:pBdr/>
      <w:spacing/>
      <w:ind/>
    </w:pPr>
    <w:rPr>
      <w:rFonts w:ascii="Courier New" w:hAnsi="Courier New" w:cs="Courier New"/>
      <w:lang w:val="ru-RU" w:eastAsia="ru-RU" w:bidi="ar-SA"/>
    </w:rPr>
  </w:style>
  <w:style w:type="paragraph" w:styleId="624">
    <w:name w:val="Текст выноски"/>
    <w:basedOn w:val="616"/>
    <w:next w:val="624"/>
    <w:link w:val="625"/>
    <w:pPr>
      <w:pBdr/>
      <w:spacing/>
      <w:ind/>
    </w:pPr>
    <w:rPr>
      <w:rFonts w:ascii="Tahoma" w:hAnsi="Tahoma" w:cs="Tahoma"/>
      <w:sz w:val="16"/>
      <w:szCs w:val="16"/>
    </w:rPr>
  </w:style>
  <w:style w:type="character" w:styleId="625">
    <w:name w:val="Текст выноски Знак"/>
    <w:next w:val="625"/>
    <w:link w:val="624"/>
    <w:pPr>
      <w:pBdr/>
      <w:spacing/>
      <w:ind/>
    </w:pPr>
    <w:rPr>
      <w:rFonts w:ascii="Tahoma" w:hAnsi="Tahoma" w:cs="Tahoma"/>
      <w:sz w:val="16"/>
      <w:szCs w:val="16"/>
    </w:rPr>
  </w:style>
  <w:style w:type="character" w:styleId="626">
    <w:name w:val="fontstyle01"/>
    <w:next w:val="626"/>
    <w:link w:val="616"/>
    <w:pPr>
      <w:pBdr/>
      <w:spacing/>
      <w:ind/>
    </w:pPr>
    <w:rPr>
      <w:rFonts w:ascii="TextBookC" w:hAnsi="TextBookC"/>
      <w:color w:val="242021"/>
      <w:sz w:val="18"/>
      <w:szCs w:val="18"/>
    </w:rPr>
  </w:style>
  <w:style w:type="paragraph" w:styleId="627">
    <w:name w:val="Верхний колонтитул"/>
    <w:basedOn w:val="616"/>
    <w:next w:val="627"/>
    <w:link w:val="628"/>
    <w:uiPriority w:val="99"/>
    <w:pPr>
      <w:pBdr/>
      <w:tabs>
        <w:tab w:val="center" w:leader="none" w:pos="4153"/>
        <w:tab w:val="right" w:leader="none" w:pos="8306"/>
      </w:tabs>
      <w:spacing/>
      <w:ind/>
    </w:pPr>
    <w:rPr>
      <w:sz w:val="20"/>
      <w:szCs w:val="20"/>
    </w:rPr>
  </w:style>
  <w:style w:type="character" w:styleId="628">
    <w:name w:val="Верхний колонтитул Знак"/>
    <w:basedOn w:val="617"/>
    <w:next w:val="628"/>
    <w:link w:val="627"/>
    <w:uiPriority w:val="99"/>
    <w:pPr>
      <w:pBdr/>
      <w:spacing/>
      <w:ind/>
    </w:pPr>
  </w:style>
  <w:style w:type="paragraph" w:styleId="629">
    <w:name w:val="Нижний колонтитул"/>
    <w:basedOn w:val="616"/>
    <w:next w:val="629"/>
    <w:link w:val="630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630">
    <w:name w:val="Нижний колонтитул Знак"/>
    <w:next w:val="630"/>
    <w:link w:val="629"/>
    <w:pPr>
      <w:pBdr/>
      <w:spacing/>
      <w:ind/>
    </w:pPr>
    <w:rPr>
      <w:sz w:val="24"/>
      <w:szCs w:val="24"/>
    </w:rPr>
  </w:style>
  <w:style w:type="character" w:styleId="631">
    <w:name w:val="Неразрешенное упоминание"/>
    <w:next w:val="631"/>
    <w:link w:val="616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character" w:styleId="933" w:default="1">
    <w:name w:val="Default Paragraph Font"/>
    <w:uiPriority w:val="1"/>
    <w:semiHidden/>
    <w:unhideWhenUsed/>
    <w:pPr>
      <w:pBdr/>
      <w:spacing/>
      <w:ind/>
    </w:pPr>
  </w:style>
  <w:style w:type="numbering" w:styleId="934" w:default="1">
    <w:name w:val="No List"/>
    <w:uiPriority w:val="99"/>
    <w:semiHidden/>
    <w:unhideWhenUsed/>
    <w:pPr>
      <w:pBdr/>
      <w:spacing/>
      <w:ind/>
    </w:pPr>
  </w:style>
  <w:style w:type="table" w:styleId="93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ONLYOFFICE/8.0.1.31</Application>
  <Company>Организация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dc:title>
  <dc:creator>Customer</dc:creator>
  <cp:revision>20</cp:revision>
  <dcterms:created xsi:type="dcterms:W3CDTF">2023-11-21T12:17:00Z</dcterms:created>
  <dcterms:modified xsi:type="dcterms:W3CDTF">2024-05-13T08:23:27Z</dcterms:modified>
  <cp:version>1048576</cp:version>
</cp:coreProperties>
</file>